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header1.xml" ContentType="application/vnd.openxmlformats-officedocument.wordprocessingml.header+xml"/>
  <Override PartName="/word/footnotes.xml" ContentType="application/vnd.openxmlformats-officedocument.wordprocessingml.footnotes+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1"/>
        <w:spacing w:after="0" w:before="480"/>
        <w:contextualSpacing w:val="false"/>
      </w:pPr>
      <w:r>
        <w:rPr/>
        <w:t>Observables</w:t>
      </w:r>
    </w:p>
    <w:p>
      <w:pPr>
        <w:pStyle w:val="style0"/>
      </w:pPr>
      <w:r>
        <w:rPr/>
      </w:r>
    </w:p>
    <w:p>
      <w:pPr>
        <w:pStyle w:val="style0"/>
      </w:pPr>
      <w:r>
        <w:rPr/>
        <w:t>2013-10-08 13:30 – 17:00</w:t>
      </w:r>
    </w:p>
    <w:p>
      <w:pPr>
        <w:pStyle w:val="style0"/>
      </w:pPr>
      <w:r>
        <w:rPr/>
        <w:t>Attendees</w:t>
      </w:r>
    </w:p>
    <w:p>
      <w:pPr>
        <w:pStyle w:val="style0"/>
      </w:pPr>
      <w:r>
        <w:rPr/>
        <w:t>Daniel Karlsson (DK), Michael Osborne (MO), Yongsheng Gao (YG), Romin Khazai (RK), Kathryn Hannah (KH), Andrew Perry (AP), Candy Hall (CH), Amy Wang (AW), Timothy Williams (TW), Paul Amos (PA), Toni Morrison (TM), Peter Hendler (PH), Harold Solbrig (HS),Rob Hausam (RH), Bruce Goldberg (BG), Avan Abina (AA), Tess ??, Rob McClure (RMc)</w:t>
      </w:r>
    </w:p>
    <w:p>
      <w:pPr>
        <w:pStyle w:val="style0"/>
      </w:pPr>
      <w:r>
        <w:rPr/>
        <w:t>Telephone: Stefan schulz</w:t>
      </w:r>
    </w:p>
    <w:p>
      <w:pPr>
        <w:pStyle w:val="style0"/>
      </w:pPr>
      <w:r>
        <w:rPr/>
        <w:t>LOINC Agreement-</w:t>
      </w:r>
    </w:p>
    <w:p>
      <w:pPr>
        <w:pStyle w:val="style0"/>
      </w:pPr>
      <w:r>
        <w:rPr/>
        <w:t xml:space="preserve">David Markwell made a presentation of the IHTSDO-LOINC agreement. </w:t>
      </w:r>
    </w:p>
    <w:p>
      <w:pPr>
        <w:pStyle w:val="style0"/>
      </w:pPr>
      <w:r>
        <w:rPr/>
        <w:t>KS&gt; First we need to evaluate the LOINC and SNOMED properties.</w:t>
      </w:r>
    </w:p>
    <w:p>
      <w:pPr>
        <w:pStyle w:val="style0"/>
      </w:pPr>
      <w:r>
        <w:rPr/>
        <w:t>Meanings may need to be split or even redefined e.g. Specimen model, substance model revisions and components of lab tests. We may need revisions of observables model to accommodate some new observables. As a futures direction it would be useful to have a preferred model for panels of tests.</w:t>
      </w:r>
    </w:p>
    <w:p>
      <w:pPr>
        <w:pStyle w:val="style0"/>
      </w:pPr>
      <w:r>
        <w:rPr/>
        <w:t>Unions of Immunoglobulins are hard to represent – this is an issue for the observables model.</w:t>
      </w:r>
    </w:p>
    <w:p>
      <w:pPr>
        <w:pStyle w:val="style0"/>
      </w:pPr>
      <w:r>
        <w:rPr/>
        <w:t>DK&gt; The agreement favours LOINC users What about the non-LOINC users that request new terms does this mean?</w:t>
      </w:r>
    </w:p>
    <w:p>
      <w:pPr>
        <w:pStyle w:val="style0"/>
      </w:pPr>
      <w:r>
        <w:rPr/>
        <w:t xml:space="preserve">KS&gt; There is no prohibition on adding content as long as it is not bulk copy from LOINC. </w:t>
      </w:r>
    </w:p>
    <w:p>
      <w:pPr>
        <w:pStyle w:val="style0"/>
      </w:pPr>
      <w:r>
        <w:rPr/>
        <w:t>DK&gt; There will still be observables model work e.g. combinations Immunoglobulins and sums not well represented.</w:t>
      </w:r>
    </w:p>
    <w:p>
      <w:pPr>
        <w:pStyle w:val="style0"/>
      </w:pPr>
      <w:r>
        <w:rPr/>
      </w:r>
    </w:p>
    <w:p>
      <w:pPr>
        <w:pStyle w:val="style0"/>
      </w:pPr>
      <w:r>
        <w:rPr/>
        <w:t>AA&gt; How will LOINC be represented in SNOMED CT?</w:t>
      </w:r>
    </w:p>
    <w:p>
      <w:pPr>
        <w:pStyle w:val="style0"/>
      </w:pPr>
      <w:r>
        <w:rPr/>
        <w:t>DK&gt; As Expression Associations , subject to Technical Committee / I &amp; I. The semantic is with the observables group.</w:t>
      </w:r>
    </w:p>
    <w:p>
      <w:pPr>
        <w:pStyle w:val="style0"/>
      </w:pPr>
      <w:r>
        <w:rPr/>
        <w:t>PH&gt; Are the subject/predicate rules going to be represented in the expression maps?</w:t>
      </w:r>
    </w:p>
    <w:p>
      <w:pPr>
        <w:pStyle w:val="style0"/>
      </w:pPr>
      <w:r>
        <w:rPr/>
        <w:t>DK&gt; Yes, but there would be issues.</w:t>
      </w:r>
    </w:p>
    <w:p>
      <w:pPr>
        <w:pStyle w:val="style0"/>
      </w:pPr>
      <w:r>
        <w:rPr/>
      </w:r>
    </w:p>
    <w:p>
      <w:pPr>
        <w:pStyle w:val="style0"/>
      </w:pPr>
      <w:r>
        <w:rPr>
          <w:b/>
        </w:rPr>
        <w:t>Observables Overview (DK)</w:t>
      </w:r>
    </w:p>
    <w:p>
      <w:pPr>
        <w:pStyle w:val="style0"/>
      </w:pPr>
      <w:r>
        <w:rPr/>
        <w:t>Observable is a combination of WHAT and HOW</w:t>
      </w:r>
    </w:p>
    <w:p>
      <w:pPr>
        <w:pStyle w:val="style0"/>
      </w:pPr>
      <w:r>
        <w:rPr/>
        <w:t>The model has taken a lot from OBI (Ontology for Biomedical Investigations)</w:t>
      </w:r>
    </w:p>
    <w:p>
      <w:pPr>
        <w:pStyle w:val="style0"/>
      </w:pPr>
      <w:r>
        <w:rPr/>
        <w:t>But we have a need for nesting &amp; URU rules which limit representations.</w:t>
      </w:r>
    </w:p>
    <w:p>
      <w:pPr>
        <w:pStyle w:val="style0"/>
      </w:pPr>
      <w:r>
        <w:rPr/>
        <w:t>The main piece of work in the observables group is to discuss how this will be applied in the different domains e.g. cardiology, lab, vital signs...</w:t>
      </w:r>
    </w:p>
    <w:p>
      <w:pPr>
        <w:pStyle w:val="style0"/>
      </w:pPr>
      <w:r>
        <w:rPr/>
        <w:t>Slides shown by DK to group with model and examples e.g. Tympanic temperature.</w:t>
      </w:r>
    </w:p>
    <w:p>
      <w:pPr>
        <w:pStyle w:val="style0"/>
      </w:pPr>
      <w:r>
        <w:rPr/>
        <w:t>PH&gt; the Direct Site  attribute should be “Proxy Site”</w:t>
      </w:r>
    </w:p>
    <w:p>
      <w:pPr>
        <w:pStyle w:val="style0"/>
      </w:pPr>
      <w:r>
        <w:rPr/>
        <w:t>Everyone agrees this is a good idea.</w:t>
      </w:r>
    </w:p>
    <w:p>
      <w:pPr>
        <w:pStyle w:val="style0"/>
      </w:pPr>
      <w:r>
        <w:rPr/>
        <w:t>KH&gt; Do you have units if your national standard is LOINC?</w:t>
      </w:r>
    </w:p>
    <w:p>
      <w:pPr>
        <w:pStyle w:val="style0"/>
      </w:pPr>
      <w:r>
        <w:rPr/>
        <w:t>DK&gt; It’s an implementation issue.</w:t>
      </w:r>
    </w:p>
    <w:p>
      <w:pPr>
        <w:pStyle w:val="style0"/>
      </w:pPr>
      <w:r>
        <w:rPr/>
        <w:t>AR&gt; In the oral temperature example, we should code to the lowest level of detail e.g. sublingual space not oral cavity.</w:t>
      </w:r>
    </w:p>
    <w:p>
      <w:pPr>
        <w:pStyle w:val="style0"/>
      </w:pPr>
      <w:r>
        <w:rPr/>
        <w:t>DK&gt; This is an interesting issue – not simple. There is a paper on body temperature I have uploaded to the Observables Collabnet site. Temperature is monadic.</w:t>
      </w:r>
    </w:p>
    <w:p>
      <w:pPr>
        <w:pStyle w:val="style0"/>
      </w:pPr>
      <w:r>
        <w:rPr/>
        <w:t xml:space="preserve">MO&gt; Does anyone have any concerns about the TOWARDS attribute? </w:t>
      </w:r>
    </w:p>
    <w:p>
      <w:pPr>
        <w:pStyle w:val="style0"/>
      </w:pPr>
      <w:r>
        <w:rPr/>
        <w:t xml:space="preserve">DK&gt; Concentration is  a relational quality so “towards” is the component in the triad. (e.g. a concentration of a substance in a fluid) although </w:t>
      </w:r>
      <w:r>
        <w:rPr/>
        <w:t>Janna Hastings et al.</w:t>
      </w:r>
      <w:r>
        <w:rPr/>
        <w:t xml:space="preserve"> proposes in a paper that it should be the other way around</w:t>
      </w:r>
      <w:r>
        <w:rPr>
          <w:rStyle w:val="style23"/>
        </w:rPr>
        <w:footnoteReference w:id="2"/>
      </w:r>
      <w:r>
        <w:rPr/>
        <w:t>.</w:t>
      </w:r>
    </w:p>
    <w:p>
      <w:pPr>
        <w:pStyle w:val="style0"/>
      </w:pPr>
      <w:r>
        <w:rPr/>
        <w:t>RH&gt; How do we know which way to apply the model.</w:t>
      </w:r>
    </w:p>
    <w:p>
      <w:pPr>
        <w:pStyle w:val="style0"/>
      </w:pPr>
      <w:r>
        <w:rPr/>
        <w:t>DK&gt; We just need to apply it consistently and make the documentation correct.</w:t>
      </w:r>
    </w:p>
    <w:p>
      <w:pPr>
        <w:pStyle w:val="style0"/>
      </w:pPr>
      <w:r>
        <w:rPr/>
        <w:t>HS&gt; Where did the word TOWARDS come from.</w:t>
      </w:r>
    </w:p>
    <w:p>
      <w:pPr>
        <w:pStyle w:val="style0"/>
      </w:pPr>
      <w:r>
        <w:rPr/>
        <w:t>DK&gt; A Chris Mung</w:t>
      </w:r>
      <w:r>
        <w:rPr/>
        <w:t>a</w:t>
      </w:r>
      <w:r>
        <w:rPr/>
        <w:t>ll paper.</w:t>
      </w:r>
    </w:p>
    <w:p>
      <w:pPr>
        <w:pStyle w:val="style0"/>
      </w:pPr>
      <w:r>
        <w:rPr/>
        <w:t xml:space="preserve"> </w:t>
      </w:r>
      <w:r>
        <w:rPr/>
        <w:t>Rod McClure&gt; As an unbiased person, the attributes should be more user friendly.</w:t>
      </w:r>
    </w:p>
    <w:p>
      <w:pPr>
        <w:pStyle w:val="style0"/>
      </w:pPr>
      <w:r>
        <w:rPr/>
        <w:t>DK&gt; This is a very important issue – it’s been brought up before.</w:t>
      </w:r>
    </w:p>
    <w:p>
      <w:pPr>
        <w:pStyle w:val="style0"/>
      </w:pPr>
      <w:r>
        <w:rPr/>
        <w:t>MO&gt; It’s a matter of learning the meaning of the attributes – it’s no different to LOINC and the SYSTEM part.</w:t>
      </w:r>
    </w:p>
    <w:p>
      <w:pPr>
        <w:pStyle w:val="style0"/>
      </w:pPr>
      <w:r>
        <w:rPr/>
        <w:t>Judy Warren&gt; Nursing SIG has mapped and validated an observables subset (C</w:t>
      </w:r>
      <w:r>
        <w:rPr/>
        <w:t>-</w:t>
      </w:r>
      <w:r>
        <w:rPr/>
        <w:t xml:space="preserve">HOBIC) ~24 observables. </w:t>
      </w:r>
    </w:p>
    <w:p>
      <w:pPr>
        <w:pStyle w:val="style0"/>
      </w:pPr>
      <w:r>
        <w:rPr/>
        <w:t>DK&gt; The observables group would like to look at these and perhaps see how they look in the new model.</w:t>
      </w:r>
    </w:p>
    <w:p>
      <w:pPr>
        <w:pStyle w:val="style0"/>
      </w:pPr>
      <w:r>
        <w:rPr/>
        <w:t>----Close of meeting 12:30pm-----</w:t>
      </w:r>
    </w:p>
    <w:p>
      <w:pPr>
        <w:pStyle w:val="style0"/>
      </w:pPr>
      <w:r>
        <w:rPr/>
      </w:r>
    </w:p>
    <w:p>
      <w:pPr>
        <w:pStyle w:val="style2"/>
        <w:pageBreakBefore/>
      </w:pPr>
      <w:r>
        <w:rPr/>
        <w:t>Observables part 2</w:t>
      </w:r>
    </w:p>
    <w:p>
      <w:pPr>
        <w:pStyle w:val="style0"/>
      </w:pPr>
      <w:r>
        <w:rPr/>
        <w:t>----Observables Meeting notes from 2013-10-09 09:00 am – 12:00 pm</w:t>
      </w:r>
    </w:p>
    <w:p>
      <w:pPr>
        <w:pStyle w:val="style0"/>
      </w:pPr>
      <w:r>
        <w:rPr/>
        <w:t>Attendees:</w:t>
      </w:r>
    </w:p>
    <w:p>
      <w:pPr>
        <w:pStyle w:val="style0"/>
      </w:pPr>
      <w:r>
        <w:rPr/>
        <w:t>Daniel Karlsson (DK), Michael Osborne (MO), Candy Hall (CH), Timothy Williams (TW),  Toni Morrison (TM), Rob Hausam (RH),Howard Goldberg (HG), Daniel Vreeman (DV), Monique Van Berkum (MVB), Sarita Keni (SK), Palle Gerry Petersen (PGP), Azrulreezal Abdul Wahab (AAW), Maizura Musa (MM), Dion McMurtrie (DM), James Campbell (JC), Apurva Desai (AD), Kent Spackman (KS)</w:t>
      </w:r>
    </w:p>
    <w:p>
      <w:pPr>
        <w:pStyle w:val="style0"/>
      </w:pPr>
      <w:r>
        <w:rPr/>
      </w:r>
    </w:p>
    <w:p>
      <w:pPr>
        <w:pStyle w:val="style0"/>
      </w:pPr>
      <w:r>
        <w:rPr>
          <w:b/>
        </w:rPr>
        <w:t>Clinical Observable Trial</w:t>
      </w:r>
    </w:p>
    <w:p>
      <w:pPr>
        <w:pStyle w:val="style0"/>
      </w:pPr>
      <w:r>
        <w:rPr/>
        <w:t xml:space="preserve">DK&gt; the group has done a trial of 50 clinical observables </w:t>
      </w:r>
    </w:p>
    <w:p>
      <w:pPr>
        <w:pStyle w:val="style0"/>
      </w:pPr>
      <w:r>
        <w:rPr/>
      </w:r>
    </w:p>
    <w:p>
      <w:pPr>
        <w:pStyle w:val="style0"/>
      </w:pPr>
      <w:r>
        <w:rPr/>
        <w:t>DK&gt; Aim today is to go through the clinical observables test and agree on patterns</w:t>
      </w:r>
    </w:p>
    <w:p>
      <w:pPr>
        <w:pStyle w:val="style0"/>
      </w:pPr>
      <w:r>
        <w:rPr/>
        <w:t>Do an alpha release of a smaller set of modelled observables before November,</w:t>
      </w:r>
    </w:p>
    <w:p>
      <w:pPr>
        <w:pStyle w:val="style0"/>
      </w:pPr>
      <w:r>
        <w:rPr/>
        <w:t xml:space="preserve">We did a test of the observables model for lab use in 2009 and then negotiations started with RII, we started looking at the clinical observables while waiting for the agreement. </w:t>
      </w:r>
    </w:p>
    <w:p>
      <w:pPr>
        <w:pStyle w:val="style0"/>
      </w:pPr>
      <w:r>
        <w:rPr/>
        <w:t>There is a document about the quality criteria on collabnet</w:t>
      </w:r>
    </w:p>
    <w:p>
      <w:pPr>
        <w:pStyle w:val="style0"/>
      </w:pPr>
      <w:r>
        <w:rPr/>
        <w:t>50 existing observables modelled</w:t>
      </w:r>
    </w:p>
    <w:p>
      <w:pPr>
        <w:pStyle w:val="style0"/>
      </w:pPr>
      <w:r>
        <w:rPr/>
        <w:t>4 modellers (David Sperzal, Michael Osborne, Stefan Schulz, Christian Cocos)</w:t>
      </w:r>
    </w:p>
    <w:p>
      <w:pPr>
        <w:pStyle w:val="style0"/>
      </w:pPr>
      <w:r>
        <w:rPr/>
        <w:t>25 vital signs and 25 sample observables – randomly selected</w:t>
      </w:r>
    </w:p>
    <w:p>
      <w:pPr>
        <w:pStyle w:val="style0"/>
      </w:pPr>
      <w:r>
        <w:rPr/>
        <w:t xml:space="preserve">Preliminary results </w:t>
      </w:r>
    </w:p>
    <w:p>
      <w:pPr>
        <w:pStyle w:val="style0"/>
        <w:numPr>
          <w:ilvl w:val="0"/>
          <w:numId w:val="2"/>
        </w:numPr>
      </w:pPr>
      <w:r>
        <w:rPr/>
        <w:t>A large agreement in temperature observables</w:t>
      </w:r>
    </w:p>
    <w:p>
      <w:pPr>
        <w:pStyle w:val="style0"/>
        <w:numPr>
          <w:ilvl w:val="0"/>
          <w:numId w:val="2"/>
        </w:numPr>
      </w:pPr>
      <w:r>
        <w:rPr/>
        <w:t>Fluid pressure (blood pressure) observable rules were agreed on</w:t>
      </w:r>
    </w:p>
    <w:p>
      <w:pPr>
        <w:pStyle w:val="style0"/>
        <w:numPr>
          <w:ilvl w:val="0"/>
          <w:numId w:val="2"/>
        </w:numPr>
      </w:pPr>
      <w:r>
        <w:rPr/>
        <w:t>Property types such as temperature are lacking. A small set of properties for a large group of use cases</w:t>
      </w:r>
    </w:p>
    <w:p>
      <w:pPr>
        <w:pStyle w:val="style0"/>
        <w:numPr>
          <w:ilvl w:val="0"/>
          <w:numId w:val="2"/>
        </w:numPr>
      </w:pPr>
      <w:r>
        <w:rPr/>
        <w:t>Aggregations (max,min,sum) lacking in the model. There is a way of expressing some ratios.</w:t>
      </w:r>
    </w:p>
    <w:p>
      <w:pPr>
        <w:pStyle w:val="style0"/>
        <w:numPr>
          <w:ilvl w:val="0"/>
          <w:numId w:val="2"/>
        </w:numPr>
      </w:pPr>
      <w:r>
        <w:rPr/>
        <w:t>High variation in definition status (primitive vs fully specified) there is a need for guidance on how to set definition status.</w:t>
      </w:r>
    </w:p>
    <w:p>
      <w:pPr>
        <w:pStyle w:val="style0"/>
        <w:numPr>
          <w:ilvl w:val="0"/>
          <w:numId w:val="2"/>
        </w:numPr>
      </w:pPr>
      <w:r>
        <w:rPr/>
        <w:t xml:space="preserve">Some of the sample observables are not </w:t>
      </w:r>
      <w:r>
        <w:rPr/>
        <w:t>about the sample but “uses” a sample-based technique</w:t>
      </w:r>
    </w:p>
    <w:p>
      <w:pPr>
        <w:pStyle w:val="style0"/>
      </w:pPr>
      <w:r>
        <w:rPr/>
        <w:t>Issues Identified from the test</w:t>
      </w:r>
    </w:p>
    <w:p>
      <w:pPr>
        <w:pStyle w:val="style34"/>
        <w:numPr>
          <w:ilvl w:val="0"/>
          <w:numId w:val="1"/>
        </w:numPr>
      </w:pPr>
      <w:r>
        <w:rPr/>
        <w:t xml:space="preserve">Relation to the model of Structure/Entire/Part. Guidance is to use the structure. </w:t>
      </w:r>
    </w:p>
    <w:p>
      <w:pPr>
        <w:pStyle w:val="style34"/>
        <w:numPr>
          <w:ilvl w:val="0"/>
          <w:numId w:val="1"/>
        </w:numPr>
      </w:pPr>
      <w:r>
        <w:rPr/>
        <w:t xml:space="preserve">Use of the How attributes (Scale, Units, Technique, Direct Site) e.g. when to use </w:t>
      </w:r>
    </w:p>
    <w:p>
      <w:pPr>
        <w:pStyle w:val="style34"/>
        <w:numPr>
          <w:ilvl w:val="0"/>
          <w:numId w:val="1"/>
        </w:numPr>
      </w:pPr>
      <w:r>
        <w:rPr/>
        <w:t>Process characteristics vs quality</w:t>
      </w:r>
    </w:p>
    <w:p>
      <w:pPr>
        <w:pStyle w:val="style34"/>
        <w:numPr>
          <w:ilvl w:val="0"/>
          <w:numId w:val="1"/>
        </w:numPr>
      </w:pPr>
      <w:r>
        <w:rPr/>
        <w:t xml:space="preserve">Specificity of the attribute values – how correct do we have to be to be able to use the model. Need to be reproducible </w:t>
      </w:r>
    </w:p>
    <w:p>
      <w:pPr>
        <w:pStyle w:val="style34"/>
        <w:numPr>
          <w:ilvl w:val="0"/>
          <w:numId w:val="1"/>
        </w:numPr>
      </w:pPr>
      <w:r>
        <w:rPr/>
        <w:t xml:space="preserve">How to document the patterns – the number of patterns may be large, the observables models has a huge scope. </w:t>
      </w:r>
    </w:p>
    <w:p>
      <w:pPr>
        <w:pStyle w:val="style0"/>
      </w:pPr>
      <w:r>
        <w:rPr/>
        <w:t>Observables test spreadsheet shown</w:t>
      </w:r>
    </w:p>
    <w:p>
      <w:pPr>
        <w:pStyle w:val="style0"/>
      </w:pPr>
      <w:r>
        <w:rPr/>
        <w:t xml:space="preserve">Total Breath Rate : </w:t>
      </w:r>
    </w:p>
    <w:p>
      <w:pPr>
        <w:pStyle w:val="style0"/>
      </w:pPr>
      <w:r>
        <w:rPr/>
        <w:t xml:space="preserve">Sufficiently modelled – modelled to a degree that things needed for clinical use are modelled. This was added by Daniel. </w:t>
      </w:r>
    </w:p>
    <w:p>
      <w:pPr>
        <w:pStyle w:val="style0"/>
      </w:pPr>
      <w:r>
        <w:rPr/>
        <w:t>In the quality criteria – the level of fully defined concepts was set to 80%.</w:t>
      </w:r>
    </w:p>
    <w:p>
      <w:pPr>
        <w:pStyle w:val="style0"/>
      </w:pPr>
      <w:r>
        <w:rPr/>
        <w:t>Tentative rule 1 : all rates should use the process attributes</w:t>
      </w:r>
    </w:p>
    <w:p>
      <w:pPr>
        <w:pStyle w:val="style0"/>
      </w:pPr>
      <w:r>
        <w:rPr/>
        <w:t>There needs to be a guideline for the range of the process attributes</w:t>
      </w:r>
    </w:p>
    <w:p>
      <w:pPr>
        <w:pStyle w:val="style0"/>
      </w:pPr>
      <w:r>
        <w:rPr/>
        <w:t>MV&gt; Breathing process is a synonym for Inhaling and Exhaling concept</w:t>
      </w:r>
    </w:p>
    <w:p>
      <w:pPr>
        <w:pStyle w:val="style0"/>
      </w:pPr>
      <w:r>
        <w:rPr/>
        <w:t>DK&gt; Summary</w:t>
      </w:r>
    </w:p>
    <w:p>
      <w:pPr>
        <w:pStyle w:val="style0"/>
      </w:pPr>
      <w:r>
        <w:rPr/>
        <w:t xml:space="preserve">Agreement on Inheres-in shouldn’t be used for rates and durations (process observables). And processes use characterizes and process attributes. </w:t>
      </w:r>
    </w:p>
    <w:p>
      <w:pPr>
        <w:pStyle w:val="style0"/>
      </w:pPr>
      <w:r>
        <w:rPr/>
        <w:t>DV&gt; LOINCs approach is to not use units, but provide example units in UCUM</w:t>
      </w:r>
    </w:p>
    <w:p>
      <w:pPr>
        <w:pStyle w:val="style0"/>
      </w:pPr>
      <w:r>
        <w:rPr/>
        <w:t xml:space="preserve">DK&gt; In the 2009 test the FSNs were long and combined all of the attribute values. </w:t>
      </w:r>
    </w:p>
    <w:p>
      <w:pPr>
        <w:pStyle w:val="style0"/>
      </w:pPr>
      <w:r>
        <w:rPr/>
        <w:t xml:space="preserve">There is an alternate approach. The breath rate could be seen as a the cardinality of breaths in one minute. </w:t>
      </w:r>
    </w:p>
    <w:p>
      <w:pPr>
        <w:pStyle w:val="style0"/>
      </w:pPr>
      <w:r>
        <w:rPr/>
        <w:t>Other rules we could get from the first example (Total Breath Rate) – scale should be applied.</w:t>
      </w:r>
    </w:p>
    <w:p>
      <w:pPr>
        <w:pStyle w:val="style0"/>
      </w:pPr>
      <w:r>
        <w:rPr/>
        <w:t>MvB&gt; we should also model the units because it is almost universally Breaths/minute.</w:t>
      </w:r>
    </w:p>
    <w:p>
      <w:pPr>
        <w:pStyle w:val="style0"/>
      </w:pPr>
      <w:r>
        <w:rPr/>
        <w:t>DV&gt; So taking the existing term and modelling the LOINC term – it would not have the unit.</w:t>
      </w:r>
    </w:p>
    <w:p>
      <w:pPr>
        <w:pStyle w:val="style0"/>
      </w:pPr>
      <w:r>
        <w:rPr/>
        <w:t>MvB&gt;So in queries you would not be able to query on units?</w:t>
      </w:r>
    </w:p>
    <w:p>
      <w:pPr>
        <w:pStyle w:val="style0"/>
      </w:pPr>
      <w:r>
        <w:rPr/>
        <w:t xml:space="preserve">Looking at model – Blood Hb – intravascular blood where do you get the ‘intravascular ‘ it is in not in the FSN. </w:t>
      </w:r>
    </w:p>
    <w:p>
      <w:pPr>
        <w:pStyle w:val="style0"/>
      </w:pPr>
      <w:r>
        <w:rPr/>
        <w:t>Direct Site different for Sensor and a blood sample measurement of Hb</w:t>
      </w:r>
    </w:p>
    <w:p>
      <w:pPr>
        <w:pStyle w:val="style0"/>
      </w:pPr>
      <w:r>
        <w:rPr/>
        <w:t>----  Morning Tea ----</w:t>
      </w:r>
    </w:p>
    <w:p>
      <w:pPr>
        <w:pStyle w:val="style0"/>
      </w:pPr>
      <w:r>
        <w:rPr/>
        <w:t>Central venous Pressure Example</w:t>
      </w:r>
    </w:p>
    <w:p>
      <w:pPr>
        <w:pStyle w:val="style0"/>
      </w:pPr>
      <w:r>
        <w:rPr/>
        <w:t>Pressure property does not exist – these will be added when LOINC integration begins</w:t>
      </w:r>
    </w:p>
    <w:p>
      <w:pPr>
        <w:pStyle w:val="style0"/>
      </w:pPr>
      <w:r>
        <w:rPr/>
        <w:t>The inheres in location was different for each modeller</w:t>
      </w:r>
    </w:p>
    <w:p>
      <w:pPr>
        <w:pStyle w:val="style0"/>
      </w:pPr>
      <w:r>
        <w:rPr/>
        <w:t xml:space="preserve">This is an example of attribute/value specificity – not too generic. </w:t>
      </w:r>
    </w:p>
    <w:p>
      <w:pPr>
        <w:pStyle w:val="style0"/>
      </w:pPr>
      <w:r>
        <w:rPr/>
        <w:t>Entire structure should not be used. Should model to The S parts. Lumen of the Vena Cavae should be subsumed by the Structure of the vena cavae.</w:t>
      </w:r>
    </w:p>
    <w:p>
      <w:pPr>
        <w:pStyle w:val="style0"/>
      </w:pPr>
      <w:r>
        <w:rPr/>
        <w:t>Lumen should be all of the vessels – all or none</w:t>
      </w:r>
    </w:p>
    <w:p>
      <w:pPr>
        <w:pStyle w:val="style0"/>
      </w:pPr>
      <w:r>
        <w:rPr/>
        <w:t>These are in the new Anatomy model as part of a structure.</w:t>
      </w:r>
    </w:p>
    <w:p>
      <w:pPr>
        <w:pStyle w:val="style0"/>
      </w:pPr>
      <w:r>
        <w:rPr/>
        <w:t>Rule: Inheres in is used for the substance and inherent location is a lumen if applicable.</w:t>
      </w:r>
    </w:p>
    <w:p>
      <w:pPr>
        <w:pStyle w:val="style0"/>
      </w:pPr>
      <w:r>
        <w:rPr/>
        <w:t>JC&gt; Is Characterises appropriate</w:t>
      </w:r>
    </w:p>
    <w:p>
      <w:pPr>
        <w:pStyle w:val="style0"/>
      </w:pPr>
      <w:r>
        <w:rPr/>
      </w:r>
    </w:p>
    <w:p>
      <w:pPr>
        <w:pStyle w:val="style0"/>
      </w:pPr>
      <w:r>
        <w:rPr/>
        <w:t>DK&gt; Characterises is used for processes, inheres in for point in time measurements.</w:t>
      </w:r>
    </w:p>
    <w:p>
      <w:pPr>
        <w:pStyle w:val="style0"/>
      </w:pPr>
      <w:r>
        <w:rPr/>
        <w:t xml:space="preserve">JC&gt; Intravascular blood is a needless elaboration </w:t>
      </w:r>
    </w:p>
    <w:p>
      <w:pPr>
        <w:pStyle w:val="style0"/>
      </w:pPr>
      <w:r>
        <w:rPr/>
        <w:t>DK&gt; Golden rule for SCT specificity is difficult.</w:t>
      </w:r>
    </w:p>
    <w:p>
      <w:pPr>
        <w:pStyle w:val="style0"/>
      </w:pPr>
      <w:r>
        <w:rPr/>
        <w:t>HG&gt; Intravascular pressure is measured in lumens , therefore start with a clear definition</w:t>
      </w:r>
    </w:p>
    <w:p>
      <w:pPr>
        <w:pStyle w:val="style0"/>
      </w:pPr>
      <w:r>
        <w:rPr/>
        <w:t xml:space="preserve">JC&gt; Transducer near a blood pressure cuff - </w:t>
      </w:r>
    </w:p>
    <w:p>
      <w:pPr>
        <w:pStyle w:val="style0"/>
      </w:pPr>
      <w:r>
        <w:rPr/>
        <w:t xml:space="preserve">DK&gt; Non invasive BP example shown </w:t>
      </w:r>
    </w:p>
    <w:p>
      <w:pPr>
        <w:pStyle w:val="style0"/>
      </w:pPr>
      <w:r>
        <w:rPr/>
        <w:t>JC&gt; Go as specific as you can so terminate at venous blood so all venous pressures are together.</w:t>
      </w:r>
    </w:p>
    <w:p>
      <w:pPr>
        <w:pStyle w:val="style0"/>
      </w:pPr>
      <w:r>
        <w:rPr/>
        <w:t xml:space="preserve">MvB&gt; Gastric Ulcer – Stomach / Mucosa argument </w:t>
      </w:r>
    </w:p>
    <w:p>
      <w:pPr>
        <w:pStyle w:val="style0"/>
      </w:pPr>
      <w:r>
        <w:rPr/>
        <w:t xml:space="preserve">DK&gt; Easier to aggregate up, </w:t>
      </w:r>
    </w:p>
    <w:p>
      <w:pPr>
        <w:pStyle w:val="style0"/>
      </w:pPr>
      <w:r>
        <w:rPr/>
        <w:t>KS&gt; You can’t answer that in isolation, for both directions you need GCIs</w:t>
      </w:r>
    </w:p>
    <w:p>
      <w:pPr>
        <w:pStyle w:val="style0"/>
      </w:pPr>
      <w:r>
        <w:rPr/>
        <w:t xml:space="preserve">The supertype/subtype relationships are important. </w:t>
      </w:r>
    </w:p>
    <w:p>
      <w:pPr>
        <w:pStyle w:val="style0"/>
      </w:pPr>
      <w:r>
        <w:rPr/>
        <w:t>The other example that is like this is renal excretion/clearance.</w:t>
      </w:r>
    </w:p>
    <w:p>
      <w:pPr>
        <w:pStyle w:val="style0"/>
      </w:pPr>
      <w:r>
        <w:rPr/>
        <w:t>Do you have to specify the process of renal clearance down to the thing being cleared or just a process of renal clearance.</w:t>
      </w:r>
    </w:p>
    <w:p>
      <w:pPr>
        <w:pStyle w:val="style0"/>
      </w:pPr>
      <w:r>
        <w:rPr/>
        <w:t>This discussion is a eloquent argument for GCIs So you need both the more specific and general.</w:t>
      </w:r>
    </w:p>
    <w:p>
      <w:pPr>
        <w:pStyle w:val="style0"/>
      </w:pPr>
      <w:r>
        <w:rPr/>
        <w:t>There would be a rule that says if the site is a vascular entity – then the substance is intravascular.</w:t>
      </w:r>
    </w:p>
    <w:p>
      <w:pPr>
        <w:pStyle w:val="style0"/>
      </w:pPr>
      <w:r>
        <w:rPr/>
        <w:t>We can deliver a draft model that delivers the most specific for all of the observables.</w:t>
      </w:r>
    </w:p>
    <w:p>
      <w:pPr>
        <w:pStyle w:val="style0"/>
      </w:pPr>
      <w:r>
        <w:rPr/>
        <w:t>We should get all of the concepts that have these locations and model them as a group, then you define the rule based on the group.</w:t>
      </w:r>
    </w:p>
    <w:p>
      <w:pPr>
        <w:pStyle w:val="style0"/>
      </w:pPr>
      <w:r>
        <w:rPr/>
      </w:r>
    </w:p>
    <w:p>
      <w:pPr>
        <w:pStyle w:val="style0"/>
      </w:pPr>
      <w:r>
        <w:rPr/>
        <w:t>Meeting with professional groups have indicated an urgent requirement for observables</w:t>
      </w:r>
    </w:p>
    <w:p>
      <w:pPr>
        <w:pStyle w:val="style0"/>
      </w:pPr>
      <w:r>
        <w:rPr/>
        <w:tab/>
      </w:r>
    </w:p>
    <w:p>
      <w:pPr>
        <w:pStyle w:val="style0"/>
      </w:pPr>
      <w:r>
        <w:rPr/>
        <w:t>Clinical observables patterns have been identified</w:t>
      </w:r>
    </w:p>
    <w:p>
      <w:pPr>
        <w:pStyle w:val="style0"/>
      </w:pPr>
      <w:r>
        <w:rPr/>
        <w:tab/>
        <w:t>The representation and documentation of patterns will have to considered</w:t>
      </w:r>
    </w:p>
    <w:p>
      <w:pPr>
        <w:pStyle w:val="style0"/>
        <w:ind w:firstLine="720" w:left="0" w:right="0"/>
      </w:pPr>
      <w:r>
        <w:rPr/>
        <w:t>Example patterns: Process Vs Quality, Pressure Modelling</w:t>
      </w:r>
    </w:p>
    <w:p>
      <w:pPr>
        <w:pStyle w:val="style0"/>
      </w:pPr>
      <w:r>
        <w:rPr/>
        <w:t>Observables modelling will require GCIs for managing levels of specificity</w:t>
      </w:r>
    </w:p>
    <w:p>
      <w:pPr>
        <w:pStyle w:val="style0"/>
      </w:pPr>
      <w:r>
        <w:rPr/>
        <w:tab/>
        <w:t>Example modelling will be provided</w:t>
      </w:r>
    </w:p>
    <w:p>
      <w:pPr>
        <w:pStyle w:val="style0"/>
      </w:pPr>
      <w:r>
        <w:rPr/>
      </w:r>
    </w:p>
    <w:p>
      <w:pPr>
        <w:pStyle w:val="style0"/>
      </w:pPr>
      <w:r>
        <w:rPr/>
        <w:t>Meeting Closed 12:00pm</w:t>
      </w:r>
    </w:p>
    <w:p>
      <w:pPr>
        <w:pStyle w:val="style0"/>
      </w:pPr>
      <w:r>
        <w:rPr/>
      </w:r>
    </w:p>
    <w:p>
      <w:pPr>
        <w:pStyle w:val="style0"/>
      </w:pPr>
      <w:r>
        <w:rPr/>
        <w:t>Next Meeting by Teleconference TBA</w:t>
      </w:r>
    </w:p>
    <w:sectPr>
      <w:headerReference r:id="rId2" w:type="default"/>
      <w:footnotePr>
        <w:numFmt w:val="decimal"/>
      </w:footnotePr>
      <w:type w:val="nextPage"/>
      <w:pgSz w:h="16838" w:w="11906"/>
      <w:pgMar w:bottom="1440" w:footer="0" w:gutter="0" w:header="708" w:left="1440" w:right="1440" w:top="1440"/>
      <w:pgNumType w:fmt="decimal"/>
      <w:formProt w:val="false"/>
      <w:textDirection w:val="lrTb"/>
      <w:docGrid w:charSpace="4096"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80"/>
    <w:family w:val="roman"/>
    <w:pitch w:val="variable"/>
  </w:font>
  <w:font w:name="Calibri">
    <w:charset w:val="80"/>
    <w:family w:val="roman"/>
    <w:pitch w:val="variable"/>
  </w:font>
  <w:font w:name="Cambria">
    <w:charset w:val="80"/>
    <w:family w:val="roman"/>
    <w:pitch w:val="variable"/>
  </w:font>
  <w:font w:name="OpenSymbol">
    <w:altName w:val="Arial Unicode MS"/>
    <w:charset w:val="80"/>
    <w:family w:val="auto"/>
    <w:pitch w:val="default"/>
  </w:font>
  <w:font w:name="Arial">
    <w:charset w:val="80"/>
    <w:family w:val="swiss"/>
    <w:pitch w:val="variable"/>
  </w:font>
  <w:font w:name="Calibri">
    <w:charset w:val="80"/>
    <w:family w:val="swiss"/>
    <w:pitch w:val="variable"/>
  </w:font>
  <w:font w:name="Courier New">
    <w:charset w:val="80"/>
    <w:family w:val="modern"/>
    <w:pitch w:val="fixed"/>
  </w:font>
  <w:font w:name="Wingdings">
    <w:charset w:val="02"/>
    <w:family w:val="auto"/>
    <w:pitch w:val="default"/>
  </w:font>
  <w:font w:name="Symbol">
    <w:charset w:val="02"/>
    <w:family w:val="auto"/>
    <w:pitch w:val="variable"/>
  </w:font>
  <w:font w:name="Symbol">
    <w:charset w:val="02"/>
    <w:family w:val="auto"/>
    <w:pitch w:val="default"/>
  </w:font>
</w:fonts>
</file>

<file path=word/footnotes.xml><?xml version="1.0" encoding="utf-8"?>
<w:footnotes xmlns:r="http://schemas.openxmlformats.org/officeDocument/2006/relationships" xmlns:w="http://schemas.openxmlformats.org/wordprocessingml/2006/main">
  <w:footnote w:id="0" w:type="separator">
    <w:p>
      <w:r>
        <w:separator/>
      </w:r>
    </w:p>
  </w:footnote>
  <w:footnote w:id="1" w:type="continuationSeparator">
    <w:p>
      <w:r>
        <w:continuationSeparator/>
      </w:r>
    </w:p>
  </w:footnote>
  <w:footnote w:id="2">
    <w:p>
      <w:pPr>
        <w:pStyle w:val="style35"/>
      </w:pPr>
      <w:r>
        <w:rPr/>
        <w:footnoteRef/>
        <w:tab/>
        <w:t xml:space="preserve">Janna Hastings, Christoph Steinbeck, Ludger Jansen and Stefan Schulz. Substance concentrations as conditions for the </w:t>
        <w:t>realization of dispositions. KR-MED 2010</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32"/>
    </w:pPr>
    <w:r>
      <w:rPr/>
      <w:t>Observables Redesign Minutes 09-10</w:t>
    </w:r>
    <w:r>
      <w:rPr>
        <w:vertAlign w:val="superscript"/>
      </w:rPr>
      <w:t>th</w:t>
    </w:r>
    <w:r>
      <w:rPr/>
      <w:t xml:space="preserve"> October 2013</w:t>
    </w:r>
  </w:p>
</w:hdr>
</file>

<file path=word/numbering.xml><?xml version="1.0" encoding="utf-8"?>
<w:numbering xmlns:w="http://schemas.openxmlformats.org/wordprocessingml/2006/main">
  <w:abstractNum w:abstractNumId="1">
    <w:lvl w:ilvl="0">
      <w:start w:val="25"/>
      <w:numFmt w:val="bullet"/>
      <w:lvlText w:val="-"/>
      <w:lvlJc w:val="left"/>
      <w:pPr>
        <w:ind w:hanging="360" w:left="720"/>
      </w:pPr>
      <w:rPr>
        <w:rFonts w:ascii="Calibri" w:cs="Calibri" w:hAnsi="Calibri"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2">
    <w:lvl w:ilvl="0">
      <w:start w:val="1"/>
      <w:numFmt w:val="bullet"/>
      <w:lvlText w:val=""/>
      <w:lvlJc w:val="left"/>
      <w:pPr>
        <w:tabs>
          <w:tab w:pos="1440" w:val="num"/>
        </w:tabs>
        <w:ind w:hanging="360" w:left="1440"/>
      </w:pPr>
      <w:rPr>
        <w:rFonts w:ascii="Symbol" w:cs="Symbol" w:hAnsi="Symbol" w:hint="default"/>
      </w:rPr>
    </w:lvl>
    <w:lvl w:ilvl="1">
      <w:start w:val="1"/>
      <w:numFmt w:val="bullet"/>
      <w:lvlText w:val="◦"/>
      <w:lvlJc w:val="left"/>
      <w:pPr>
        <w:tabs>
          <w:tab w:pos="1800" w:val="num"/>
        </w:tabs>
        <w:ind w:hanging="360" w:left="1800"/>
      </w:pPr>
      <w:rPr>
        <w:rFonts w:ascii="OpenSymbol" w:cs="OpenSymbol" w:hAnsi="OpenSymbol" w:hint="default"/>
      </w:rPr>
    </w:lvl>
    <w:lvl w:ilvl="2">
      <w:start w:val="1"/>
      <w:numFmt w:val="bullet"/>
      <w:lvlText w:val="▪"/>
      <w:lvlJc w:val="left"/>
      <w:pPr>
        <w:tabs>
          <w:tab w:pos="2160" w:val="num"/>
        </w:tabs>
        <w:ind w:hanging="360" w:left="2160"/>
      </w:pPr>
      <w:rPr>
        <w:rFonts w:ascii="OpenSymbol" w:cs="OpenSymbol" w:hAnsi="OpenSymbol" w:hint="default"/>
      </w:rPr>
    </w:lvl>
    <w:lvl w:ilvl="3">
      <w:start w:val="1"/>
      <w:numFmt w:val="bullet"/>
      <w:lvlText w:val=""/>
      <w:lvlJc w:val="left"/>
      <w:pPr>
        <w:tabs>
          <w:tab w:pos="2520" w:val="num"/>
        </w:tabs>
        <w:ind w:hanging="360" w:left="2520"/>
      </w:pPr>
      <w:rPr>
        <w:rFonts w:ascii="Symbol" w:cs="Symbol" w:hAnsi="Symbol" w:hint="default"/>
      </w:rPr>
    </w:lvl>
    <w:lvl w:ilvl="4">
      <w:start w:val="1"/>
      <w:numFmt w:val="bullet"/>
      <w:lvlText w:val="◦"/>
      <w:lvlJc w:val="left"/>
      <w:pPr>
        <w:tabs>
          <w:tab w:pos="2880" w:val="num"/>
        </w:tabs>
        <w:ind w:hanging="360" w:left="2880"/>
      </w:pPr>
      <w:rPr>
        <w:rFonts w:ascii="OpenSymbol" w:cs="OpenSymbol" w:hAnsi="OpenSymbol" w:hint="default"/>
      </w:rPr>
    </w:lvl>
    <w:lvl w:ilvl="5">
      <w:start w:val="1"/>
      <w:numFmt w:val="bullet"/>
      <w:lvlText w:val="▪"/>
      <w:lvlJc w:val="left"/>
      <w:pPr>
        <w:tabs>
          <w:tab w:pos="3240" w:val="num"/>
        </w:tabs>
        <w:ind w:hanging="360" w:left="3240"/>
      </w:pPr>
      <w:rPr>
        <w:rFonts w:ascii="OpenSymbol" w:cs="OpenSymbol" w:hAnsi="OpenSymbol" w:hint="default"/>
      </w:rPr>
    </w:lvl>
    <w:lvl w:ilvl="6">
      <w:start w:val="1"/>
      <w:numFmt w:val="bullet"/>
      <w:lvlText w:val=""/>
      <w:lvlJc w:val="left"/>
      <w:pPr>
        <w:tabs>
          <w:tab w:pos="3600" w:val="num"/>
        </w:tabs>
        <w:ind w:hanging="360" w:left="3600"/>
      </w:pPr>
      <w:rPr>
        <w:rFonts w:ascii="Symbol" w:cs="Symbol" w:hAnsi="Symbol" w:hint="default"/>
      </w:rPr>
    </w:lvl>
    <w:lvl w:ilvl="7">
      <w:start w:val="1"/>
      <w:numFmt w:val="bullet"/>
      <w:lvlText w:val="◦"/>
      <w:lvlJc w:val="left"/>
      <w:pPr>
        <w:tabs>
          <w:tab w:pos="3960" w:val="num"/>
        </w:tabs>
        <w:ind w:hanging="360" w:left="3960"/>
      </w:pPr>
      <w:rPr>
        <w:rFonts w:ascii="OpenSymbol" w:cs="OpenSymbol" w:hAnsi="OpenSymbol" w:hint="default"/>
      </w:rPr>
    </w:lvl>
    <w:lvl w:ilvl="8">
      <w:start w:val="1"/>
      <w:numFmt w:val="bullet"/>
      <w:lvlText w:val="▪"/>
      <w:lvlJc w:val="left"/>
      <w:pPr>
        <w:tabs>
          <w:tab w:pos="4320" w:val="num"/>
        </w:tabs>
        <w:ind w:hanging="360" w:left="4320"/>
      </w:pPr>
      <w:rPr>
        <w:rFonts w:ascii="OpenSymbol" w:cs="OpenSymbol" w:hAnsi="OpenSymbol" w:hint="default"/>
      </w:rPr>
    </w:lvl>
  </w:abstractNum>
  <w:abstractNum w:abstractNumId="3">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84"/>
  <w:defaultTabStop w:val="720"/>
  <w:footnotePr>
    <w:numFmt w:val="decimal"/>
    <w:footnote w:id="0"/>
    <w:footnote w:id="1"/>
  </w:footnotePr>
</w:settings>
</file>

<file path=word/styles.xml><?xml version="1.0" encoding="utf-8"?>
<w:styles xmlns:w="http://schemas.openxmlformats.org/wordprocessingml/2006/main">
  <w:style w:styleId="style0" w:type="paragraph">
    <w:name w:val="Default Style"/>
    <w:next w:val="style0"/>
    <w:pPr>
      <w:widowControl/>
      <w:suppressAutoHyphens w:val="true"/>
      <w:spacing w:after="200" w:before="0" w:line="276" w:lineRule="auto"/>
      <w:contextualSpacing w:val="false"/>
    </w:pPr>
    <w:rPr>
      <w:rFonts w:ascii="Calibri" w:cs="Calibri" w:eastAsia="DejaVu Sans" w:hAnsi="Calibri"/>
      <w:color w:val="auto"/>
      <w:sz w:val="22"/>
      <w:szCs w:val="22"/>
      <w:lang w:bidi="ar-SA" w:eastAsia="en-US" w:val="en-AU"/>
    </w:rPr>
  </w:style>
  <w:style w:styleId="style1" w:type="paragraph">
    <w:name w:val="Heading 1"/>
    <w:basedOn w:val="style0"/>
    <w:next w:val="style1"/>
    <w:pPr>
      <w:keepNext/>
      <w:keepLines/>
      <w:spacing w:after="0" w:before="480"/>
      <w:contextualSpacing w:val="false"/>
    </w:pPr>
    <w:rPr>
      <w:rFonts w:ascii="Cambria" w:cs="" w:hAnsi="Cambria"/>
      <w:b/>
      <w:bCs/>
      <w:color w:val="365F91"/>
      <w:sz w:val="28"/>
      <w:szCs w:val="28"/>
    </w:rPr>
  </w:style>
  <w:style w:styleId="style2" w:type="paragraph">
    <w:name w:val="Heading 2"/>
    <w:basedOn w:val="style0"/>
    <w:next w:val="style2"/>
    <w:pPr>
      <w:keepNext/>
      <w:keepLines/>
      <w:spacing w:after="0" w:before="200"/>
      <w:contextualSpacing w:val="false"/>
    </w:pPr>
    <w:rPr>
      <w:rFonts w:ascii="Cambria" w:cs="" w:hAnsi="Cambria"/>
      <w:b/>
      <w:bCs/>
      <w:color w:val="4F81BD"/>
      <w:sz w:val="26"/>
      <w:szCs w:val="26"/>
    </w:rPr>
  </w:style>
  <w:style w:styleId="style15" w:type="character">
    <w:name w:val="Default Paragraph Font"/>
    <w:next w:val="style15"/>
    <w:rPr/>
  </w:style>
  <w:style w:styleId="style16" w:type="character">
    <w:name w:val="Heading 1 Char"/>
    <w:basedOn w:val="style15"/>
    <w:next w:val="style16"/>
    <w:rPr>
      <w:rFonts w:ascii="Cambria" w:cs="" w:hAnsi="Cambria"/>
      <w:b/>
      <w:bCs/>
      <w:color w:val="365F91"/>
      <w:sz w:val="28"/>
      <w:szCs w:val="28"/>
    </w:rPr>
  </w:style>
  <w:style w:styleId="style17" w:type="character">
    <w:name w:val="Header Char"/>
    <w:basedOn w:val="style15"/>
    <w:next w:val="style17"/>
    <w:rPr/>
  </w:style>
  <w:style w:styleId="style18" w:type="character">
    <w:name w:val="Footer Char"/>
    <w:basedOn w:val="style15"/>
    <w:next w:val="style18"/>
    <w:rPr/>
  </w:style>
  <w:style w:styleId="style19" w:type="character">
    <w:name w:val="Heading 2 Char"/>
    <w:basedOn w:val="style15"/>
    <w:next w:val="style19"/>
    <w:rPr>
      <w:rFonts w:ascii="Cambria" w:cs="" w:hAnsi="Cambria"/>
      <w:b/>
      <w:bCs/>
      <w:color w:val="4F81BD"/>
      <w:sz w:val="26"/>
      <w:szCs w:val="26"/>
    </w:rPr>
  </w:style>
  <w:style w:styleId="style20" w:type="character">
    <w:name w:val="ListLabel 1"/>
    <w:next w:val="style20"/>
    <w:rPr>
      <w:rFonts w:cs="Calibri"/>
    </w:rPr>
  </w:style>
  <w:style w:styleId="style21" w:type="character">
    <w:name w:val="ListLabel 2"/>
    <w:next w:val="style21"/>
    <w:rPr>
      <w:rFonts w:cs="Courier New"/>
    </w:rPr>
  </w:style>
  <w:style w:styleId="style22" w:type="character">
    <w:name w:val="Footnote Characters"/>
    <w:next w:val="style22"/>
    <w:rPr/>
  </w:style>
  <w:style w:styleId="style23" w:type="character">
    <w:name w:val="Footnote Anchor"/>
    <w:next w:val="style23"/>
    <w:rPr>
      <w:vertAlign w:val="superscript"/>
    </w:rPr>
  </w:style>
  <w:style w:styleId="style24" w:type="character">
    <w:name w:val="Bullets"/>
    <w:next w:val="style24"/>
    <w:rPr>
      <w:rFonts w:ascii="OpenSymbol" w:cs="OpenSymbol" w:eastAsia="OpenSymbol" w:hAnsi="OpenSymbol"/>
    </w:rPr>
  </w:style>
  <w:style w:styleId="style25" w:type="character">
    <w:name w:val="Endnote Anchor"/>
    <w:next w:val="style25"/>
    <w:rPr>
      <w:vertAlign w:val="superscript"/>
    </w:rPr>
  </w:style>
  <w:style w:styleId="style26" w:type="character">
    <w:name w:val="Endnote Characters"/>
    <w:next w:val="style26"/>
    <w:rPr/>
  </w:style>
  <w:style w:styleId="style27" w:type="paragraph">
    <w:name w:val="Heading"/>
    <w:basedOn w:val="style0"/>
    <w:next w:val="style28"/>
    <w:pPr>
      <w:keepNext/>
      <w:spacing w:after="120" w:before="240"/>
      <w:contextualSpacing w:val="false"/>
    </w:pPr>
    <w:rPr>
      <w:rFonts w:ascii="Arial" w:cs="Lohit Hindi" w:eastAsia="DejaVu Sans" w:hAnsi="Arial"/>
      <w:sz w:val="28"/>
      <w:szCs w:val="28"/>
    </w:rPr>
  </w:style>
  <w:style w:styleId="style28" w:type="paragraph">
    <w:name w:val="Text Body"/>
    <w:basedOn w:val="style0"/>
    <w:next w:val="style28"/>
    <w:pPr>
      <w:spacing w:after="120" w:before="0"/>
      <w:contextualSpacing w:val="false"/>
    </w:pPr>
    <w:rPr/>
  </w:style>
  <w:style w:styleId="style29" w:type="paragraph">
    <w:name w:val="List"/>
    <w:basedOn w:val="style28"/>
    <w:next w:val="style29"/>
    <w:pPr/>
    <w:rPr>
      <w:rFonts w:cs="Lohit Hindi"/>
    </w:rPr>
  </w:style>
  <w:style w:styleId="style30" w:type="paragraph">
    <w:name w:val="Caption"/>
    <w:basedOn w:val="style0"/>
    <w:next w:val="style30"/>
    <w:pPr>
      <w:suppressLineNumbers/>
      <w:spacing w:after="120" w:before="120"/>
      <w:contextualSpacing w:val="false"/>
    </w:pPr>
    <w:rPr>
      <w:rFonts w:cs="Lohit Hindi"/>
      <w:i/>
      <w:iCs/>
      <w:sz w:val="24"/>
      <w:szCs w:val="24"/>
    </w:rPr>
  </w:style>
  <w:style w:styleId="style31" w:type="paragraph">
    <w:name w:val="Index"/>
    <w:basedOn w:val="style0"/>
    <w:next w:val="style31"/>
    <w:pPr>
      <w:suppressLineNumbers/>
    </w:pPr>
    <w:rPr>
      <w:rFonts w:cs="Lohit Hindi"/>
    </w:rPr>
  </w:style>
  <w:style w:styleId="style32" w:type="paragraph">
    <w:name w:val="Header"/>
    <w:basedOn w:val="style0"/>
    <w:next w:val="style32"/>
    <w:pPr>
      <w:tabs>
        <w:tab w:leader="none" w:pos="4513" w:val="center"/>
        <w:tab w:leader="none" w:pos="9026" w:val="right"/>
      </w:tabs>
      <w:spacing w:after="0" w:before="0" w:line="100" w:lineRule="atLeast"/>
      <w:contextualSpacing w:val="false"/>
    </w:pPr>
    <w:rPr/>
  </w:style>
  <w:style w:styleId="style33" w:type="paragraph">
    <w:name w:val="Footer"/>
    <w:basedOn w:val="style0"/>
    <w:next w:val="style33"/>
    <w:pPr>
      <w:tabs>
        <w:tab w:leader="none" w:pos="4513" w:val="center"/>
        <w:tab w:leader="none" w:pos="9026" w:val="right"/>
      </w:tabs>
      <w:spacing w:after="0" w:before="0" w:line="100" w:lineRule="atLeast"/>
      <w:contextualSpacing w:val="false"/>
    </w:pPr>
    <w:rPr/>
  </w:style>
  <w:style w:styleId="style34" w:type="paragraph">
    <w:name w:val="List Paragraph"/>
    <w:basedOn w:val="style0"/>
    <w:next w:val="style34"/>
    <w:pPr>
      <w:spacing w:after="200" w:before="0"/>
      <w:ind w:hanging="0" w:left="720" w:right="0"/>
      <w:contextualSpacing/>
    </w:pPr>
    <w:rPr/>
  </w:style>
  <w:style w:styleId="style35" w:type="paragraph">
    <w:name w:val="Footnote"/>
    <w:basedOn w:val="style0"/>
    <w:next w:val="style35"/>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388</TotalTime>
  <Application>LibreOffice/4.0.2.2$Linux_X86_64 LibreOffice_project/400m0$Build-2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2013-10-09T13:07:00.00Z</dcterms:created>
  <dc:creator>michael</dc:creator>
  <cp:lastModifiedBy>michael</cp:lastModifiedBy>
  <dcterms:modified xsi:type="dcterms:W3CDTF">2013-10-12T02:10:00.00Z</dcterms:modified>
  <cp:revision>30</cp:revision>
</cp:coreProperties>
</file>